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D337" w14:textId="121D92AB" w:rsidR="002C0132" w:rsidRPr="003A03D3" w:rsidRDefault="00274404" w:rsidP="00A5072D">
      <w:pPr>
        <w:pStyle w:val="Titre1"/>
        <w:spacing w:line="240" w:lineRule="auto"/>
      </w:pPr>
      <w:bookmarkStart w:id="0" w:name="_GoBack"/>
      <w:bookmarkEnd w:id="0"/>
      <w:r w:rsidRPr="003A03D3">
        <w:t xml:space="preserve">Règlement communal relatif à l’indemnisation forfaitaire des commerçant-e-s </w:t>
      </w:r>
      <w:r w:rsidR="002C0132" w:rsidRPr="003A03D3">
        <w:t xml:space="preserve">dont l’activité a été affectée de manière exceptionnelle par le chantier régional </w:t>
      </w:r>
      <w:r w:rsidR="00DA0D4F" w:rsidRPr="003A03D3">
        <w:t>de réaménagement complet de façade à façade de la chaussée d’</w:t>
      </w:r>
      <w:r w:rsidR="00E6320A" w:rsidRPr="003A03D3">
        <w:t xml:space="preserve">Ixelles entre la Porte de Namur </w:t>
      </w:r>
      <w:r w:rsidR="00DA0D4F" w:rsidRPr="003A03D3">
        <w:t xml:space="preserve">et la place Fernand Cocq </w:t>
      </w:r>
    </w:p>
    <w:p w14:paraId="13905296" w14:textId="77777777" w:rsidR="00E6320A" w:rsidRPr="00E6320A" w:rsidRDefault="00E6320A" w:rsidP="00E6320A"/>
    <w:p w14:paraId="7D5BBB38" w14:textId="77777777" w:rsidR="00274404" w:rsidRDefault="00274404" w:rsidP="00A5072D">
      <w:pPr>
        <w:pStyle w:val="Titre2"/>
        <w:spacing w:line="240" w:lineRule="auto"/>
      </w:pPr>
      <w:r>
        <w:t>Article 1</w:t>
      </w:r>
      <w:r w:rsidR="002C0132">
        <w:t xml:space="preserve"> </w:t>
      </w:r>
      <w:r>
        <w:t>-</w:t>
      </w:r>
      <w:r w:rsidR="002C0132">
        <w:t xml:space="preserve"> </w:t>
      </w:r>
      <w:r>
        <w:t xml:space="preserve">Objet </w:t>
      </w:r>
    </w:p>
    <w:p w14:paraId="432A562B" w14:textId="4137999B" w:rsidR="00274404" w:rsidRDefault="00274404" w:rsidP="00A5072D">
      <w:pPr>
        <w:spacing w:line="240" w:lineRule="auto"/>
      </w:pPr>
      <w:r>
        <w:t>Dans les limites d’une subvention octroyée à cet effet par la Région de Bruxelles</w:t>
      </w:r>
      <w:r w:rsidR="002C0132">
        <w:t>, le Collège des B</w:t>
      </w:r>
      <w:r>
        <w:t xml:space="preserve">ourgmestre et </w:t>
      </w:r>
      <w:r w:rsidR="002C0132">
        <w:t>É</w:t>
      </w:r>
      <w:r>
        <w:t xml:space="preserve">chevins peut attribuer </w:t>
      </w:r>
      <w:r w:rsidR="002C0132">
        <w:t xml:space="preserve"> une </w:t>
      </w:r>
      <w:r>
        <w:t xml:space="preserve">indemnisation </w:t>
      </w:r>
      <w:r w:rsidR="002C0132">
        <w:t>forfaitaire aux</w:t>
      </w:r>
      <w:r>
        <w:t xml:space="preserve"> commerçant</w:t>
      </w:r>
      <w:r w:rsidR="002C0132">
        <w:t>-e-</w:t>
      </w:r>
      <w:r>
        <w:t xml:space="preserve">s dont l’activité a été affectée de manière exceptionnelle par le </w:t>
      </w:r>
      <w:r w:rsidR="00DA0D4F" w:rsidRPr="006C24D2">
        <w:t xml:space="preserve">chantier régional </w:t>
      </w:r>
      <w:r w:rsidR="00E6320A">
        <w:t>de réaménagement complet de façade à façade de la chaussée d’Ixelles entre la Porte de Namur et la place Fernand Cocq.</w:t>
      </w:r>
    </w:p>
    <w:p w14:paraId="4A388F28" w14:textId="77777777" w:rsidR="002C0132" w:rsidRDefault="00274404" w:rsidP="00A5072D">
      <w:pPr>
        <w:pStyle w:val="Titre2"/>
        <w:spacing w:line="240" w:lineRule="auto"/>
      </w:pPr>
      <w:r>
        <w:t>Article 2</w:t>
      </w:r>
      <w:r w:rsidR="002C0132">
        <w:t xml:space="preserve"> </w:t>
      </w:r>
      <w:r>
        <w:t>-</w:t>
      </w:r>
      <w:r w:rsidR="002C0132">
        <w:t xml:space="preserve"> </w:t>
      </w:r>
      <w:r>
        <w:t>Champ d’application et définitions</w:t>
      </w:r>
    </w:p>
    <w:p w14:paraId="76D8BBB5" w14:textId="77777777" w:rsidR="00274404" w:rsidRDefault="00274404" w:rsidP="00A5072D">
      <w:pPr>
        <w:spacing w:line="240" w:lineRule="auto"/>
      </w:pPr>
      <w:r>
        <w:t>Il faut entendre par:</w:t>
      </w:r>
    </w:p>
    <w:p w14:paraId="73A60836" w14:textId="77777777" w:rsidR="002C0132" w:rsidRDefault="00274404" w:rsidP="00A5072D">
      <w:pPr>
        <w:spacing w:line="240" w:lineRule="auto"/>
      </w:pPr>
      <w:r w:rsidRPr="002C0132">
        <w:rPr>
          <w:rStyle w:val="Titre3Car"/>
        </w:rPr>
        <w:t>Indemnisation forfaitaire des commerçant</w:t>
      </w:r>
      <w:r w:rsidR="002C0132" w:rsidRPr="002C0132">
        <w:rPr>
          <w:rStyle w:val="Titre3Car"/>
        </w:rPr>
        <w:t>-e-</w:t>
      </w:r>
      <w:r w:rsidRPr="002C0132">
        <w:rPr>
          <w:rStyle w:val="Titre3Car"/>
        </w:rPr>
        <w:t>s :</w:t>
      </w:r>
      <w:r>
        <w:t xml:space="preserve">  </w:t>
      </w:r>
    </w:p>
    <w:p w14:paraId="4395EA64" w14:textId="2EEA885F" w:rsidR="006C24D2" w:rsidRDefault="002C0132" w:rsidP="00A5072D">
      <w:pPr>
        <w:spacing w:line="240" w:lineRule="auto"/>
      </w:pPr>
      <w:r>
        <w:t>L</w:t>
      </w:r>
      <w:r w:rsidR="00274404">
        <w:t>e montant forfaitaire</w:t>
      </w:r>
      <w:r w:rsidR="00E6320A">
        <w:rPr>
          <w:color w:val="FF0000"/>
        </w:rPr>
        <w:t xml:space="preserve"> </w:t>
      </w:r>
      <w:r w:rsidR="00274404">
        <w:t xml:space="preserve">fixé à l’article 3 et octroyé par la commune </w:t>
      </w:r>
      <w:r>
        <w:t xml:space="preserve">d’Ixelles </w:t>
      </w:r>
      <w:r w:rsidR="00274404">
        <w:t xml:space="preserve"> à titre d’indemnisation</w:t>
      </w:r>
      <w:r w:rsidR="006C24D2">
        <w:t xml:space="preserve"> forfaitaire</w:t>
      </w:r>
      <w:r w:rsidR="00274404">
        <w:t xml:space="preserve"> à la suite de l’exécution de travaux publics dans le cadre du chantier régional </w:t>
      </w:r>
      <w:r w:rsidR="00E6320A">
        <w:t>de réaménagement complet de façade à façade de la chaussée d’Ixelles entre la Porte de Namur et la place Fernand Cocq.</w:t>
      </w:r>
    </w:p>
    <w:p w14:paraId="694DD205" w14:textId="77777777" w:rsidR="002C0132" w:rsidRDefault="00274404" w:rsidP="00A5072D">
      <w:pPr>
        <w:spacing w:line="240" w:lineRule="auto"/>
      </w:pPr>
      <w:r w:rsidRPr="002C0132">
        <w:rPr>
          <w:rStyle w:val="Titre3Car"/>
        </w:rPr>
        <w:t>Commerçant</w:t>
      </w:r>
      <w:r w:rsidR="002C0132">
        <w:rPr>
          <w:rStyle w:val="Titre3Car"/>
        </w:rPr>
        <w:t>-e-</w:t>
      </w:r>
      <w:r w:rsidRPr="002C0132">
        <w:rPr>
          <w:rStyle w:val="Titre3Car"/>
        </w:rPr>
        <w:t>s:</w:t>
      </w:r>
      <w:r>
        <w:t xml:space="preserve"> </w:t>
      </w:r>
    </w:p>
    <w:p w14:paraId="697F05E5" w14:textId="77777777" w:rsidR="00274404" w:rsidRDefault="00274404" w:rsidP="00A5072D">
      <w:pPr>
        <w:spacing w:line="240" w:lineRule="auto"/>
      </w:pPr>
      <w:r>
        <w:t xml:space="preserve">Toute entreprise commerciale qui répond aux conditions </w:t>
      </w:r>
      <w:r w:rsidRPr="00FB5898">
        <w:t>cumulatives</w:t>
      </w:r>
      <w:r>
        <w:t xml:space="preserve"> suivantes:</w:t>
      </w:r>
    </w:p>
    <w:p w14:paraId="49121A9A" w14:textId="68588651" w:rsidR="002C0132" w:rsidRDefault="00274404" w:rsidP="00A5072D">
      <w:pPr>
        <w:pStyle w:val="Paragraphedeliste"/>
        <w:numPr>
          <w:ilvl w:val="0"/>
          <w:numId w:val="4"/>
        </w:numPr>
      </w:pPr>
      <w:r w:rsidRPr="002C0132">
        <w:t>présenter pour l’année 2017, un  chiffre  d’affaire an</w:t>
      </w:r>
      <w:r w:rsidR="006C24D2">
        <w:t xml:space="preserve">nuel  </w:t>
      </w:r>
      <w:r w:rsidR="00E6320A" w:rsidRPr="00E6320A">
        <w:t>ou</w:t>
      </w:r>
      <w:r w:rsidR="00DA0D4F" w:rsidRPr="00E6320A">
        <w:t xml:space="preserve"> </w:t>
      </w:r>
      <w:r w:rsidR="006C24D2">
        <w:t>un  total  du  bilan </w:t>
      </w:r>
      <w:r w:rsidRPr="002C0132">
        <w:t>annuel  qui  ne dépasse pas deux millions d’euros ;</w:t>
      </w:r>
    </w:p>
    <w:p w14:paraId="56935BD0" w14:textId="59F6FBED" w:rsidR="002C0132" w:rsidRDefault="00274404" w:rsidP="00A5072D">
      <w:pPr>
        <w:pStyle w:val="Paragraphedeliste"/>
        <w:numPr>
          <w:ilvl w:val="0"/>
          <w:numId w:val="4"/>
        </w:numPr>
      </w:pPr>
      <w:r w:rsidRPr="002C0132">
        <w:t>avoir  pour  activité  principale  la  vente  directe  de  produits  ou  l'offre  de  services  à  des consommateurs-trices  ou  à  des  petits  utilisateurs-trices,  requérant  avec  les  client-e-</w:t>
      </w:r>
      <w:r w:rsidR="002C0132">
        <w:t>s</w:t>
      </w:r>
      <w:r w:rsidRPr="002C0132">
        <w:t>  un  contact  direct  et personnel qui a lieu, dans des circonstances normales, à l'intérieur d'un établissement bâti </w:t>
      </w:r>
      <w:r w:rsidR="00FB5898">
        <w:t>.</w:t>
      </w:r>
    </w:p>
    <w:p w14:paraId="6E361A8B" w14:textId="77777777" w:rsidR="00274404" w:rsidRDefault="002C0132" w:rsidP="00A5072D">
      <w:pPr>
        <w:pStyle w:val="Titre3"/>
        <w:spacing w:line="240" w:lineRule="auto"/>
      </w:pPr>
      <w:r w:rsidRPr="002C0132">
        <w:t>Périmètre d'indemnisation</w:t>
      </w:r>
      <w:r>
        <w:t> :</w:t>
      </w:r>
    </w:p>
    <w:p w14:paraId="50853D9E" w14:textId="77777777" w:rsidR="00E6320A" w:rsidRPr="00E6320A" w:rsidRDefault="002C0132" w:rsidP="00E6320A">
      <w:pPr>
        <w:spacing w:line="240" w:lineRule="auto"/>
      </w:pPr>
      <w:r w:rsidRPr="00E6320A">
        <w:t xml:space="preserve">Seul-e-s les commerçant-e-s dont le commerce  </w:t>
      </w:r>
      <w:r w:rsidR="00274404" w:rsidRPr="00E6320A">
        <w:t xml:space="preserve">est établi dans le périmètre </w:t>
      </w:r>
      <w:r w:rsidR="00DA0D4F" w:rsidRPr="00E6320A">
        <w:t xml:space="preserve">tel que défini </w:t>
      </w:r>
      <w:r w:rsidR="00E6320A" w:rsidRPr="00E6320A">
        <w:t xml:space="preserve">ci-dessous </w:t>
      </w:r>
      <w:r w:rsidRPr="00E6320A">
        <w:t>p</w:t>
      </w:r>
      <w:r w:rsidR="00A94C47" w:rsidRPr="00E6320A">
        <w:t>euvent</w:t>
      </w:r>
      <w:r w:rsidRPr="00E6320A">
        <w:t xml:space="preserve"> soumettre</w:t>
      </w:r>
      <w:r w:rsidR="00A94C47" w:rsidRPr="00E6320A">
        <w:t xml:space="preserve"> </w:t>
      </w:r>
      <w:r w:rsidRPr="00E6320A">
        <w:t xml:space="preserve"> une demande d’octroi d’indemnisation</w:t>
      </w:r>
      <w:r w:rsidR="00E6320A" w:rsidRPr="00E6320A">
        <w:t xml:space="preserve"> forfaitaire :</w:t>
      </w:r>
    </w:p>
    <w:p w14:paraId="274D3606" w14:textId="7599A825" w:rsidR="00E6320A" w:rsidRPr="00E6320A" w:rsidRDefault="00E6320A" w:rsidP="00E6320A">
      <w:pPr>
        <w:pStyle w:val="Paragraphedeliste"/>
        <w:numPr>
          <w:ilvl w:val="0"/>
          <w:numId w:val="4"/>
        </w:numPr>
      </w:pPr>
      <w:r w:rsidRPr="00E6320A">
        <w:t>Chaussée d’Ixelles du n° 22 au n°156;</w:t>
      </w:r>
    </w:p>
    <w:p w14:paraId="63069A30" w14:textId="22D48EB3" w:rsidR="00E6320A" w:rsidRDefault="00E6320A" w:rsidP="00E6320A">
      <w:pPr>
        <w:pStyle w:val="Paragraphedeliste"/>
        <w:numPr>
          <w:ilvl w:val="0"/>
          <w:numId w:val="4"/>
        </w:numPr>
      </w:pPr>
      <w:r w:rsidRPr="00E6320A">
        <w:t>Chaussée d’Ixelles du n° 21 au n°149;</w:t>
      </w:r>
    </w:p>
    <w:p w14:paraId="1B1B2C2E" w14:textId="07B8CE69" w:rsidR="004F3797" w:rsidRPr="00E6320A" w:rsidRDefault="004F3797" w:rsidP="00E6320A">
      <w:pPr>
        <w:pStyle w:val="Paragraphedeliste"/>
        <w:numPr>
          <w:ilvl w:val="0"/>
          <w:numId w:val="4"/>
        </w:numPr>
      </w:pPr>
      <w:r>
        <w:t>Rue Francart du n°1 au n°12 ;</w:t>
      </w:r>
    </w:p>
    <w:p w14:paraId="1DA19433" w14:textId="1945C255" w:rsidR="00E6320A" w:rsidRPr="00E6320A" w:rsidRDefault="00E6320A" w:rsidP="00E6320A">
      <w:pPr>
        <w:pStyle w:val="Paragraphedeliste"/>
        <w:numPr>
          <w:ilvl w:val="0"/>
          <w:numId w:val="4"/>
        </w:numPr>
      </w:pPr>
      <w:r w:rsidRPr="00E6320A">
        <w:t>Place Fernand Cocq du n° 26 au n° 29.</w:t>
      </w:r>
    </w:p>
    <w:p w14:paraId="12B3DD84" w14:textId="77777777" w:rsidR="00E6320A" w:rsidRPr="002C0132" w:rsidRDefault="00E6320A" w:rsidP="00E6320A">
      <w:pPr>
        <w:pStyle w:val="Paragraphedeliste"/>
      </w:pPr>
    </w:p>
    <w:p w14:paraId="59C187C7" w14:textId="77777777" w:rsidR="0057205B" w:rsidRDefault="00274404" w:rsidP="00A5072D">
      <w:pPr>
        <w:pStyle w:val="Titre2"/>
        <w:spacing w:line="240" w:lineRule="auto"/>
      </w:pPr>
      <w:r>
        <w:t>Article 3</w:t>
      </w:r>
      <w:r w:rsidR="002C0132">
        <w:t xml:space="preserve"> </w:t>
      </w:r>
      <w:r>
        <w:t>-</w:t>
      </w:r>
      <w:r w:rsidR="002C0132">
        <w:t xml:space="preserve"> </w:t>
      </w:r>
      <w:r>
        <w:t>Montant de l’indemnisation forfaitaire</w:t>
      </w:r>
    </w:p>
    <w:p w14:paraId="7082CA3C" w14:textId="77777777" w:rsidR="00274404" w:rsidRPr="00E6320A" w:rsidRDefault="00274404" w:rsidP="00A5072D">
      <w:pPr>
        <w:pStyle w:val="Titre3"/>
        <w:spacing w:line="240" w:lineRule="auto"/>
        <w:rPr>
          <w:color w:val="auto"/>
        </w:rPr>
      </w:pPr>
      <w:r w:rsidRPr="00E6320A">
        <w:rPr>
          <w:rFonts w:asciiTheme="minorHAnsi" w:eastAsiaTheme="minorHAnsi" w:hAnsiTheme="minorHAnsi" w:cstheme="minorBidi"/>
          <w:color w:val="auto"/>
          <w:sz w:val="22"/>
          <w:szCs w:val="22"/>
        </w:rPr>
        <w:t>Le montant de l'indemnisation forfaitaire est de :</w:t>
      </w:r>
    </w:p>
    <w:p w14:paraId="6495640B" w14:textId="77777777" w:rsidR="00274404" w:rsidRPr="00E6320A" w:rsidRDefault="00274404" w:rsidP="00A5072D">
      <w:pPr>
        <w:pStyle w:val="Paragraphedeliste"/>
        <w:numPr>
          <w:ilvl w:val="0"/>
          <w:numId w:val="6"/>
        </w:numPr>
      </w:pPr>
      <w:r w:rsidRPr="00E6320A">
        <w:t>2.000 EUR pour un commerce occupant moins de 2 équivalents temps-plein;</w:t>
      </w:r>
    </w:p>
    <w:p w14:paraId="522BEAC3" w14:textId="77777777" w:rsidR="00274404" w:rsidRPr="00E6320A" w:rsidRDefault="00274404" w:rsidP="00A5072D">
      <w:pPr>
        <w:pStyle w:val="Paragraphedeliste"/>
        <w:numPr>
          <w:ilvl w:val="0"/>
          <w:numId w:val="6"/>
        </w:numPr>
      </w:pPr>
      <w:r w:rsidRPr="00E6320A">
        <w:t xml:space="preserve">2.350 EUR pour un commerce occupant entre 2 (y compris) et 5 équivalents temps-plein; </w:t>
      </w:r>
    </w:p>
    <w:p w14:paraId="79DA22D6" w14:textId="013245D1" w:rsidR="00274404" w:rsidRPr="00E6320A" w:rsidRDefault="00274404" w:rsidP="00A5072D">
      <w:pPr>
        <w:pStyle w:val="Paragraphedeliste"/>
        <w:numPr>
          <w:ilvl w:val="0"/>
          <w:numId w:val="6"/>
        </w:numPr>
      </w:pPr>
      <w:r w:rsidRPr="00E6320A">
        <w:t xml:space="preserve">2.700 EUR pour un commerce occupant 5 </w:t>
      </w:r>
      <w:r w:rsidR="00A737AD" w:rsidRPr="00E6320A">
        <w:t xml:space="preserve">(y compris) </w:t>
      </w:r>
      <w:r w:rsidR="00FB5898" w:rsidRPr="00E6320A">
        <w:t xml:space="preserve">à 10 (y compris) </w:t>
      </w:r>
      <w:r w:rsidRPr="00E6320A">
        <w:t>équivalents temps-plein</w:t>
      </w:r>
      <w:r w:rsidR="006C24D2" w:rsidRPr="00E6320A">
        <w:t>.</w:t>
      </w:r>
    </w:p>
    <w:p w14:paraId="40777071" w14:textId="77777777" w:rsidR="00E5467A" w:rsidRPr="00E6320A" w:rsidRDefault="00E5467A" w:rsidP="00E5467A">
      <w:pPr>
        <w:pStyle w:val="Titre3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6320A">
        <w:rPr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>Les étudiant-e-s et intérimaires sont exclu-e-s dans le calcul des employé-e-s équivalents temps-plein.  </w:t>
      </w:r>
    </w:p>
    <w:p w14:paraId="41216CE7" w14:textId="77777777" w:rsidR="00274404" w:rsidRDefault="00274404" w:rsidP="00A5072D">
      <w:pPr>
        <w:pStyle w:val="Titre2"/>
        <w:spacing w:line="240" w:lineRule="auto"/>
      </w:pPr>
      <w:r>
        <w:t xml:space="preserve">Article 4 - Procédure </w:t>
      </w:r>
    </w:p>
    <w:p w14:paraId="3A5BA931" w14:textId="77777777" w:rsidR="00A94C47" w:rsidRDefault="00FB2C1C" w:rsidP="00A5072D">
      <w:pPr>
        <w:spacing w:line="240" w:lineRule="auto"/>
      </w:pPr>
      <w:r>
        <w:t xml:space="preserve">Sous peine d’irrecevabilité, la </w:t>
      </w:r>
      <w:r w:rsidR="00A94C47" w:rsidRPr="002C0132">
        <w:t>demande d’octroi d’indemnisation</w:t>
      </w:r>
      <w:r w:rsidR="00A94C47">
        <w:t xml:space="preserve"> forfaitaire </w:t>
      </w:r>
      <w:r>
        <w:t>doit être introduite à l’aide du formulaire ad hoc, d</w:t>
      </w:r>
      <w:r w:rsidR="00BA2734">
        <w:t xml:space="preserve">ûment complété, daté et signé </w:t>
      </w:r>
      <w:r>
        <w:t>par le</w:t>
      </w:r>
      <w:r w:rsidR="00A94C47">
        <w:t>/la</w:t>
      </w:r>
      <w:r>
        <w:t xml:space="preserve"> commerçant-e</w:t>
      </w:r>
      <w:r w:rsidR="00A94C47">
        <w:t xml:space="preserve"> concerné-e</w:t>
      </w:r>
      <w:r>
        <w:t xml:space="preserve">. </w:t>
      </w:r>
    </w:p>
    <w:p w14:paraId="69769D62" w14:textId="77777777" w:rsidR="00A93535" w:rsidRDefault="00274404" w:rsidP="00A5072D">
      <w:pPr>
        <w:spacing w:line="240" w:lineRule="auto"/>
      </w:pPr>
      <w:r>
        <w:t>Cette demande  doit  être adressée  par  courrier  recommandé  à  l’attention  du  Collège  d</w:t>
      </w:r>
      <w:r w:rsidR="00A94C47">
        <w:t xml:space="preserve">es </w:t>
      </w:r>
      <w:r>
        <w:t>Bourgmestre et Echevins (</w:t>
      </w:r>
      <w:r w:rsidR="00FB2C1C">
        <w:t>Chaussée d’Ixelles 168 – 1050 Ixelles</w:t>
      </w:r>
      <w:r w:rsidR="00A93535">
        <w:t>)</w:t>
      </w:r>
      <w:r>
        <w:t xml:space="preserve"> au plus tard 3 mois suivant l’entrée en</w:t>
      </w:r>
      <w:r w:rsidR="00A94C47">
        <w:t xml:space="preserve"> vigueur du présent règlement. </w:t>
      </w:r>
    </w:p>
    <w:p w14:paraId="0680979D" w14:textId="77777777" w:rsidR="00A93535" w:rsidRDefault="00A93535" w:rsidP="00A5072D">
      <w:pPr>
        <w:spacing w:line="240" w:lineRule="auto"/>
      </w:pPr>
      <w:r>
        <w:t>Le formulaire est délivré  sur  simple  demande auprès  de  l’administration  communale (Cellule Commerce  – Chaussée d’Ixelles 168A  (1</w:t>
      </w:r>
      <w:r w:rsidRPr="00A93535">
        <w:rPr>
          <w:vertAlign w:val="superscript"/>
        </w:rPr>
        <w:t>er</w:t>
      </w:r>
      <w:r>
        <w:t xml:space="preserve"> étage) – </w:t>
      </w:r>
      <w:hyperlink r:id="rId6" w:history="1">
        <w:r w:rsidRPr="00D139BB">
          <w:rPr>
            <w:rStyle w:val="Lienhypertexte"/>
          </w:rPr>
          <w:t>commerce@ixelles.brussels</w:t>
        </w:r>
      </w:hyperlink>
      <w:r>
        <w:t xml:space="preserve"> )  ou  téléchargeable   via   le   site   internet   communal  </w:t>
      </w:r>
      <w:r w:rsidR="00A5072D">
        <w:t>(</w:t>
      </w:r>
      <w:hyperlink r:id="rId7" w:history="1">
        <w:r w:rsidRPr="00D139BB">
          <w:rPr>
            <w:rStyle w:val="Lienhypertexte"/>
          </w:rPr>
          <w:t>http://www.ixelles.be/site/15-Reglements-et-ordonnances</w:t>
        </w:r>
      </w:hyperlink>
      <w:r w:rsidR="00A5072D">
        <w:t>).</w:t>
      </w:r>
    </w:p>
    <w:p w14:paraId="0E4521CD" w14:textId="77777777" w:rsidR="00A94C47" w:rsidRDefault="00274404" w:rsidP="00A5072D">
      <w:pPr>
        <w:spacing w:line="240" w:lineRule="auto"/>
      </w:pPr>
      <w:r>
        <w:t>Toute demande incomplète doit, pour être prise en considération, être complétée dans les 15</w:t>
      </w:r>
      <w:r w:rsidR="00FB2C1C">
        <w:t xml:space="preserve"> j</w:t>
      </w:r>
      <w:r>
        <w:t xml:space="preserve">ours calendrier de la demande écrite </w:t>
      </w:r>
      <w:r w:rsidR="00A93535">
        <w:t xml:space="preserve">au Collège </w:t>
      </w:r>
      <w:r w:rsidR="00A94C47">
        <w:t>des Bourgmestre et Echevins</w:t>
      </w:r>
      <w:r>
        <w:t xml:space="preserve">. </w:t>
      </w:r>
    </w:p>
    <w:p w14:paraId="0D2E7F0E" w14:textId="77777777" w:rsidR="00274404" w:rsidRDefault="00274404" w:rsidP="00A5072D">
      <w:pPr>
        <w:spacing w:line="240" w:lineRule="auto"/>
      </w:pPr>
      <w:r>
        <w:t>A défaut, la demande d’indemnisation</w:t>
      </w:r>
      <w:r w:rsidR="00FB2C1C">
        <w:t xml:space="preserve"> </w:t>
      </w:r>
      <w:r>
        <w:t>ne</w:t>
      </w:r>
      <w:r w:rsidR="00A93535">
        <w:t xml:space="preserve"> pourra</w:t>
      </w:r>
      <w:r>
        <w:t xml:space="preserve"> pas</w:t>
      </w:r>
      <w:r w:rsidR="00A93535">
        <w:t xml:space="preserve"> être</w:t>
      </w:r>
      <w:r>
        <w:t xml:space="preserve"> prise en considération</w:t>
      </w:r>
      <w:r w:rsidR="00A5072D">
        <w:t xml:space="preserve"> par le Collège des Bourgmestre et Echevins</w:t>
      </w:r>
      <w:r>
        <w:t xml:space="preserve">. </w:t>
      </w:r>
    </w:p>
    <w:p w14:paraId="4BCCFDCC" w14:textId="77777777" w:rsidR="00274404" w:rsidRDefault="00274404" w:rsidP="00A5072D">
      <w:pPr>
        <w:pStyle w:val="Titre2"/>
        <w:spacing w:line="240" w:lineRule="auto"/>
      </w:pPr>
      <w:r>
        <w:t xml:space="preserve">Article 5 - Décision et </w:t>
      </w:r>
      <w:r w:rsidR="00A94C47">
        <w:t>liquidation</w:t>
      </w:r>
    </w:p>
    <w:p w14:paraId="1231606A" w14:textId="6C1BDBEA" w:rsidR="00274404" w:rsidRPr="00E6320A" w:rsidRDefault="00A93535" w:rsidP="00A5072D">
      <w:pPr>
        <w:spacing w:line="240" w:lineRule="auto"/>
      </w:pPr>
      <w:r w:rsidRPr="00E6320A">
        <w:t xml:space="preserve">Le  </w:t>
      </w:r>
      <w:r w:rsidR="00274404" w:rsidRPr="00E6320A">
        <w:t>Co</w:t>
      </w:r>
      <w:r w:rsidRPr="00E6320A">
        <w:t>llège des Bourgmestre et Échevins</w:t>
      </w:r>
      <w:r w:rsidR="00E5467A" w:rsidRPr="00E6320A">
        <w:t xml:space="preserve"> </w:t>
      </w:r>
      <w:r w:rsidR="00620ECB" w:rsidRPr="00E6320A">
        <w:t xml:space="preserve">se charge de </w:t>
      </w:r>
      <w:r w:rsidR="00E5467A" w:rsidRPr="00E6320A">
        <w:t>vérifie</w:t>
      </w:r>
      <w:r w:rsidR="00620ECB" w:rsidRPr="00E6320A">
        <w:t>r</w:t>
      </w:r>
      <w:r w:rsidR="00E5467A" w:rsidRPr="00E6320A">
        <w:t xml:space="preserve"> si les conditions définies par le présent règlement sont remplies et est seul compétent pour décider de l’octroi ou non de l’indemnisation forfaitaire. </w:t>
      </w:r>
    </w:p>
    <w:p w14:paraId="0B4C8C2A" w14:textId="03D08876" w:rsidR="00A93535" w:rsidRPr="00E6320A" w:rsidRDefault="00BC17C8" w:rsidP="00A5072D">
      <w:pPr>
        <w:spacing w:line="240" w:lineRule="auto"/>
      </w:pPr>
      <w:r w:rsidRPr="00E6320A">
        <w:t>L</w:t>
      </w:r>
      <w:r w:rsidR="00A94C47" w:rsidRPr="00E6320A">
        <w:t xml:space="preserve">a décision d’octroi </w:t>
      </w:r>
      <w:r w:rsidRPr="00E6320A">
        <w:t xml:space="preserve">ou non de l’indemnisation </w:t>
      </w:r>
      <w:r w:rsidR="00A5072D" w:rsidRPr="00E6320A">
        <w:t xml:space="preserve">forfaitaire </w:t>
      </w:r>
      <w:r w:rsidR="00A93535" w:rsidRPr="00E6320A">
        <w:t>est</w:t>
      </w:r>
      <w:r w:rsidRPr="00E6320A">
        <w:t xml:space="preserve"> notifiée</w:t>
      </w:r>
      <w:r w:rsidR="00A93535" w:rsidRPr="00E6320A">
        <w:t xml:space="preserve"> par courrier </w:t>
      </w:r>
      <w:r w:rsidRPr="00E6320A">
        <w:t>au/à la commerçant-e concerné-e</w:t>
      </w:r>
      <w:r w:rsidR="00A5072D" w:rsidRPr="00E6320A">
        <w:t xml:space="preserve"> dans les 15 jours calendrier de la décision du Collège des Bourgmestre et Echevins. </w:t>
      </w:r>
    </w:p>
    <w:p w14:paraId="12A9EFF1" w14:textId="77777777" w:rsidR="00274404" w:rsidRDefault="00A93535" w:rsidP="00A5072D">
      <w:pPr>
        <w:spacing w:line="240" w:lineRule="auto"/>
      </w:pPr>
      <w:r w:rsidRPr="00E6320A">
        <w:t>L’indemnité forfaitaire est</w:t>
      </w:r>
      <w:r w:rsidR="00A94C47">
        <w:t xml:space="preserve"> versée </w:t>
      </w:r>
      <w:r w:rsidR="00BC17C8">
        <w:t xml:space="preserve">au/à la commerçant-e concerné-e </w:t>
      </w:r>
      <w:r w:rsidR="00A94C47">
        <w:t>sur le numéro de compte mentionné sur le formulaire de demande.</w:t>
      </w:r>
    </w:p>
    <w:p w14:paraId="24B20AA8" w14:textId="6408D5AC" w:rsidR="00274404" w:rsidRDefault="00274404" w:rsidP="00A5072D">
      <w:pPr>
        <w:pStyle w:val="Titre2"/>
        <w:spacing w:line="240" w:lineRule="auto"/>
      </w:pPr>
      <w:r>
        <w:t xml:space="preserve">Article </w:t>
      </w:r>
      <w:r w:rsidR="00E6320A">
        <w:t>6</w:t>
      </w:r>
      <w:r w:rsidR="006C24D2">
        <w:t xml:space="preserve"> </w:t>
      </w:r>
      <w:r>
        <w:t>-</w:t>
      </w:r>
      <w:r w:rsidR="006C24D2">
        <w:t xml:space="preserve"> </w:t>
      </w:r>
      <w:r>
        <w:t xml:space="preserve">Déclaration inexacte ou frauduleuse </w:t>
      </w:r>
    </w:p>
    <w:p w14:paraId="5D4F9B9B" w14:textId="77777777" w:rsidR="00274404" w:rsidRDefault="00274404" w:rsidP="00A5072D">
      <w:pPr>
        <w:spacing w:line="240" w:lineRule="auto"/>
      </w:pPr>
      <w:r>
        <w:t xml:space="preserve">Sans  préjudice  des  dispositions  du  Code  pénal, l‘indemnisation versée  en  vertu  du  présent règlement doit être remboursée à la commune </w:t>
      </w:r>
      <w:r w:rsidR="006C24D2">
        <w:t xml:space="preserve">d’Ixelles </w:t>
      </w:r>
      <w:r>
        <w:t>ainsi que les intérêts y afférents calculés au taux légal en vigueur à la date de la décision du recouvrement en cas de déclaration inexacte ou frauduleuse en vue de l'obtenir indûment</w:t>
      </w:r>
    </w:p>
    <w:p w14:paraId="52117B93" w14:textId="315084F6" w:rsidR="00274404" w:rsidRDefault="00274404" w:rsidP="00A5072D">
      <w:pPr>
        <w:pStyle w:val="Titre2"/>
        <w:spacing w:line="240" w:lineRule="auto"/>
      </w:pPr>
      <w:r>
        <w:t xml:space="preserve">Article </w:t>
      </w:r>
      <w:r w:rsidR="00E6320A">
        <w:t>7</w:t>
      </w:r>
      <w:r>
        <w:t xml:space="preserve"> - Entrée en vigueur </w:t>
      </w:r>
    </w:p>
    <w:p w14:paraId="03BE9052" w14:textId="77777777" w:rsidR="00B674AB" w:rsidRDefault="00274404" w:rsidP="00A5072D">
      <w:pPr>
        <w:spacing w:line="240" w:lineRule="auto"/>
      </w:pPr>
      <w:r>
        <w:t xml:space="preserve">Le   présent   règlement   </w:t>
      </w:r>
      <w:r w:rsidR="006D572F" w:rsidRPr="006D572F">
        <w:t>sera d'application</w:t>
      </w:r>
      <w:r w:rsidR="006D572F">
        <w:t xml:space="preserve"> </w:t>
      </w:r>
      <w:r>
        <w:t>à  la  date  d’entrée  en  vigueur  de  l’Arrêté   du Gouvernement  de  la  Région  de  Bruxelles-Capitale  octroyant  une  subvention  à  la  c</w:t>
      </w:r>
      <w:r w:rsidR="006D572F">
        <w:t xml:space="preserve">ommune  d’Ixelles </w:t>
      </w:r>
      <w:r>
        <w:t>pour l’application du présent règlement.</w:t>
      </w:r>
    </w:p>
    <w:p w14:paraId="40B34C11" w14:textId="77777777" w:rsidR="00A94C47" w:rsidRDefault="00A94C47" w:rsidP="00A5072D">
      <w:pPr>
        <w:spacing w:line="240" w:lineRule="auto"/>
      </w:pPr>
    </w:p>
    <w:p w14:paraId="3979FD72" w14:textId="77777777" w:rsidR="00A94C47" w:rsidRDefault="00A94C47" w:rsidP="00A5072D">
      <w:pPr>
        <w:spacing w:line="240" w:lineRule="auto"/>
      </w:pPr>
    </w:p>
    <w:sectPr w:rsidR="00A9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0BB"/>
    <w:multiLevelType w:val="hybridMultilevel"/>
    <w:tmpl w:val="1EBC6F12"/>
    <w:lvl w:ilvl="0" w:tplc="B3E63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966"/>
    <w:multiLevelType w:val="hybridMultilevel"/>
    <w:tmpl w:val="05303A18"/>
    <w:lvl w:ilvl="0" w:tplc="4A3082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114"/>
    <w:multiLevelType w:val="hybridMultilevel"/>
    <w:tmpl w:val="EBF6BEBE"/>
    <w:lvl w:ilvl="0" w:tplc="23ACCB6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44527D"/>
    <w:multiLevelType w:val="hybridMultilevel"/>
    <w:tmpl w:val="96E67468"/>
    <w:lvl w:ilvl="0" w:tplc="D92C2A06">
      <w:start w:val="2"/>
      <w:numFmt w:val="bullet"/>
      <w:lvlText w:val=""/>
      <w:lvlJc w:val="left"/>
      <w:pPr>
        <w:ind w:left="2136" w:hanging="360"/>
      </w:pPr>
      <w:rPr>
        <w:rFonts w:ascii="Wingdings" w:eastAsia="Times New Roman" w:hAnsi="Wingdings" w:cs="Times New Roman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8604D44"/>
    <w:multiLevelType w:val="hybridMultilevel"/>
    <w:tmpl w:val="00B8E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3651"/>
    <w:multiLevelType w:val="hybridMultilevel"/>
    <w:tmpl w:val="14F8BE30"/>
    <w:lvl w:ilvl="0" w:tplc="B3E63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4"/>
    <w:rsid w:val="00274404"/>
    <w:rsid w:val="002C0132"/>
    <w:rsid w:val="00326D05"/>
    <w:rsid w:val="003A03D3"/>
    <w:rsid w:val="00456752"/>
    <w:rsid w:val="004F3797"/>
    <w:rsid w:val="0057205B"/>
    <w:rsid w:val="00584A76"/>
    <w:rsid w:val="006166ED"/>
    <w:rsid w:val="00620ECB"/>
    <w:rsid w:val="006C24D2"/>
    <w:rsid w:val="006D572F"/>
    <w:rsid w:val="0073740E"/>
    <w:rsid w:val="009A26BF"/>
    <w:rsid w:val="00A33FC6"/>
    <w:rsid w:val="00A5072D"/>
    <w:rsid w:val="00A737AD"/>
    <w:rsid w:val="00A93535"/>
    <w:rsid w:val="00A94C47"/>
    <w:rsid w:val="00AE1AE5"/>
    <w:rsid w:val="00B674AB"/>
    <w:rsid w:val="00B969DF"/>
    <w:rsid w:val="00BA2734"/>
    <w:rsid w:val="00BC17C8"/>
    <w:rsid w:val="00BD020D"/>
    <w:rsid w:val="00DA0D4F"/>
    <w:rsid w:val="00DE5D8E"/>
    <w:rsid w:val="00E15445"/>
    <w:rsid w:val="00E5467A"/>
    <w:rsid w:val="00E6320A"/>
    <w:rsid w:val="00FB2C1C"/>
    <w:rsid w:val="00FB5898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2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4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274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0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C0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2C1C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DA0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0D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D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4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274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0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C0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2C1C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DA0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0D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D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mmerce@ixelles.brussels" TargetMode="External"/><Relationship Id="rId7" Type="http://schemas.openxmlformats.org/officeDocument/2006/relationships/hyperlink" Target="http://www.ixelles.be/site/15-Reglements-et-ordonnanc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COMTÉ</dc:creator>
  <cp:keywords/>
  <dc:description/>
  <cp:lastModifiedBy>Audrey</cp:lastModifiedBy>
  <cp:revision>2</cp:revision>
  <dcterms:created xsi:type="dcterms:W3CDTF">2018-06-17T17:06:00Z</dcterms:created>
  <dcterms:modified xsi:type="dcterms:W3CDTF">2018-06-17T17:06:00Z</dcterms:modified>
</cp:coreProperties>
</file>